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CE2" w:rsidRPr="00C414A8" w:rsidRDefault="00F87CE2" w:rsidP="006D06E8">
      <w:pPr>
        <w:pStyle w:val="BodyText"/>
        <w:tabs>
          <w:tab w:val="num" w:pos="840"/>
        </w:tabs>
        <w:spacing w:before="20" w:after="20" w:line="276" w:lineRule="auto"/>
        <w:ind w:right="-1"/>
        <w:contextualSpacing/>
        <w:jc w:val="center"/>
        <w:rPr>
          <w:b/>
          <w:szCs w:val="24"/>
          <w:lang w:val="el-GR"/>
        </w:rPr>
      </w:pPr>
      <w:r w:rsidRPr="00C414A8">
        <w:rPr>
          <w:b/>
          <w:szCs w:val="24"/>
          <w:lang w:val="el-GR"/>
        </w:rPr>
        <w:t>ΥΠΟΥΡΓΕΙΟ  ΕΡΓΑΣΙΑΣ</w:t>
      </w:r>
      <w:r w:rsidR="00286439">
        <w:rPr>
          <w:b/>
          <w:szCs w:val="24"/>
          <w:lang w:val="el-GR"/>
        </w:rPr>
        <w:t>,</w:t>
      </w:r>
      <w:r w:rsidRPr="00C414A8">
        <w:rPr>
          <w:b/>
          <w:szCs w:val="24"/>
          <w:lang w:val="el-GR"/>
        </w:rPr>
        <w:t xml:space="preserve"> ΠΡΟΝΟΙΑΣ ΚΑΙ ΚΟΙΝΩΝΙΚΩΝ ΑΣΦΑΛΙΣΕΩΝ</w:t>
      </w:r>
    </w:p>
    <w:p w:rsidR="00F87CE2" w:rsidRPr="00C414A8" w:rsidRDefault="00F87CE2" w:rsidP="006D06E8">
      <w:pPr>
        <w:spacing w:line="276" w:lineRule="auto"/>
        <w:rPr>
          <w:b/>
          <w:sz w:val="22"/>
          <w:lang w:val="el-GR"/>
        </w:rPr>
      </w:pPr>
    </w:p>
    <w:p w:rsidR="00286439" w:rsidRDefault="00286439" w:rsidP="006D06E8">
      <w:pPr>
        <w:spacing w:line="276" w:lineRule="auto"/>
        <w:jc w:val="center"/>
        <w:rPr>
          <w:b/>
          <w:sz w:val="22"/>
          <w:lang w:val="el-GR"/>
        </w:rPr>
      </w:pPr>
    </w:p>
    <w:p w:rsidR="0007321A" w:rsidRDefault="002C2CB6" w:rsidP="006D06E8">
      <w:pPr>
        <w:spacing w:after="240" w:line="276" w:lineRule="auto"/>
        <w:jc w:val="both"/>
        <w:rPr>
          <w:rFonts w:cs="Arial"/>
          <w:sz w:val="22"/>
          <w:lang w:val="el-GR"/>
        </w:rPr>
      </w:pPr>
      <w:r w:rsidRPr="005D667A">
        <w:rPr>
          <w:rFonts w:cs="Arial"/>
          <w:sz w:val="22"/>
          <w:lang w:val="el-GR"/>
        </w:rPr>
        <w:t xml:space="preserve">Κατά </w:t>
      </w:r>
      <w:r w:rsidR="0091012B">
        <w:rPr>
          <w:rFonts w:cs="Arial"/>
          <w:sz w:val="22"/>
          <w:lang w:val="el-GR"/>
        </w:rPr>
        <w:t xml:space="preserve">τελευταία </w:t>
      </w:r>
      <w:r w:rsidRPr="005D667A">
        <w:rPr>
          <w:rFonts w:cs="Arial"/>
          <w:sz w:val="22"/>
          <w:lang w:val="el-GR"/>
        </w:rPr>
        <w:t>συνεδρία</w:t>
      </w:r>
      <w:r w:rsidR="0091012B">
        <w:rPr>
          <w:rFonts w:cs="Arial"/>
          <w:sz w:val="22"/>
          <w:lang w:val="el-GR"/>
        </w:rPr>
        <w:t xml:space="preserve"> της ολομέλειας της Βουλής των Αντιπροσώπων, εγκρίθηκαν ομόφωνα οι περί Ελάχιστου Εγγυημένου Εισοδήματος και Γενικότερα περί Κοινωνικών Παροχών (Τροποποιητικοί) Κανονισμοί (Παροχή Στέγασης) που προνοούν για την αύξηση του επιδόματος ενοικίου και του επιδόματος τόκων στεγαστικού δανείου </w:t>
      </w:r>
      <w:r w:rsidR="0007321A">
        <w:rPr>
          <w:rFonts w:cs="Arial"/>
          <w:sz w:val="22"/>
          <w:lang w:val="el-GR"/>
        </w:rPr>
        <w:t xml:space="preserve">που παρέχονται στο πλαίσιο παροχής Ελάχιστου Εγγυημένου Εισοδήματος. </w:t>
      </w:r>
    </w:p>
    <w:p w:rsidR="0091012B" w:rsidRDefault="0007321A" w:rsidP="006D06E8">
      <w:pPr>
        <w:spacing w:after="240" w:line="276" w:lineRule="auto"/>
        <w:jc w:val="both"/>
        <w:rPr>
          <w:rFonts w:cs="Arial"/>
          <w:sz w:val="22"/>
          <w:lang w:val="el-GR"/>
        </w:rPr>
      </w:pPr>
      <w:r>
        <w:rPr>
          <w:rFonts w:cs="Arial"/>
          <w:sz w:val="22"/>
          <w:lang w:val="el-GR"/>
        </w:rPr>
        <w:t xml:space="preserve">Οι Τροποποιητικοί Κανονισμοί είχαν ετοιμαστεί </w:t>
      </w:r>
      <w:bookmarkStart w:id="0" w:name="_GoBack"/>
      <w:bookmarkEnd w:id="0"/>
      <w:r>
        <w:rPr>
          <w:rFonts w:cs="Arial"/>
          <w:sz w:val="22"/>
          <w:lang w:val="el-GR"/>
        </w:rPr>
        <w:t>από το Υπουργείο Εργασίας, Πρόνοιας και Κοινωνικών Ασφαλίσεων και εγκριθεί από το Υπουργικό Συμβούλιο, στο πλαίσιο των διατάξεων της σχετικής νομοθεσίας για την τακτική αναθεώρηση των ποσών που παρέχονται με βάση τη Νομοθεσία και για την ετοιμασία τους είχε προηγηθεί σχετική μελέτη για τις τιμές ενοικιαζόμενων υποστατικών σε διάφορες περιοχές της Κύπρου κατά την περίοδο Δεκεμβρίου 2018 – Ιανουαρίου 2019.</w:t>
      </w:r>
    </w:p>
    <w:p w:rsidR="0091012B" w:rsidRDefault="0007321A" w:rsidP="006D06E8">
      <w:pPr>
        <w:spacing w:after="240" w:line="276" w:lineRule="auto"/>
        <w:jc w:val="both"/>
        <w:rPr>
          <w:rFonts w:cs="Arial"/>
          <w:sz w:val="22"/>
          <w:lang w:val="el-GR"/>
        </w:rPr>
      </w:pPr>
      <w:r>
        <w:rPr>
          <w:rFonts w:cs="Arial"/>
          <w:sz w:val="22"/>
          <w:lang w:val="el-GR"/>
        </w:rPr>
        <w:t>Σημειώνεται ότι αντίστοιχη μελέτη είχε πραγματοποιηθεί και το 2014 και οι αυξήσεις στο επίδομα ενοικίου και τόκων στεγαστικού δανείου που έχουν εγκριθεί, αντιπροσωπεύουν τη διαφορά μεταξύ των ευρημάτων της μελέτης του 2014 και των ευρημάτων της μελέτης του 2019.</w:t>
      </w:r>
    </w:p>
    <w:p w:rsidR="00447E9E" w:rsidRDefault="00447E9E" w:rsidP="006D06E8">
      <w:pPr>
        <w:spacing w:after="240" w:line="276" w:lineRule="auto"/>
        <w:jc w:val="both"/>
        <w:rPr>
          <w:rFonts w:cs="Arial"/>
          <w:sz w:val="22"/>
          <w:lang w:val="el-GR"/>
        </w:rPr>
      </w:pPr>
      <w:r>
        <w:rPr>
          <w:rFonts w:cs="Arial"/>
          <w:sz w:val="22"/>
          <w:lang w:val="el-GR"/>
        </w:rPr>
        <w:t>Με την εφαρμογή των Τροποποιητικών Κανονισμών, το παρεχόμενο επίδομα ενοικίου αυξάνεται ανάλογα με τη σύνθεση της οικογένειας και την επαρχία διαμονής, σύμφωνα με τον ακόλουθο πίνακα. Οι αυξήσεις είναι της τάξης του 50% κατά μέσο όρο.</w:t>
      </w:r>
    </w:p>
    <w:tbl>
      <w:tblPr>
        <w:tblStyle w:val="TableGrid"/>
        <w:tblW w:w="0" w:type="auto"/>
        <w:tblLook w:val="04A0" w:firstRow="1" w:lastRow="0" w:firstColumn="1" w:lastColumn="0" w:noHBand="0" w:noVBand="1"/>
      </w:tblPr>
      <w:tblGrid>
        <w:gridCol w:w="1801"/>
        <w:gridCol w:w="1797"/>
        <w:gridCol w:w="1800"/>
        <w:gridCol w:w="1797"/>
        <w:gridCol w:w="1801"/>
      </w:tblGrid>
      <w:tr w:rsidR="00B74244" w:rsidTr="006F163F">
        <w:tc>
          <w:tcPr>
            <w:tcW w:w="1801" w:type="dxa"/>
            <w:vMerge w:val="restart"/>
            <w:tcBorders>
              <w:top w:val="single" w:sz="12" w:space="0" w:color="auto"/>
              <w:left w:val="single" w:sz="12" w:space="0" w:color="auto"/>
              <w:right w:val="single" w:sz="12" w:space="0" w:color="auto"/>
            </w:tcBorders>
            <w:vAlign w:val="center"/>
          </w:tcPr>
          <w:p w:rsidR="00B74244" w:rsidRDefault="00B74244" w:rsidP="006F163F">
            <w:pPr>
              <w:autoSpaceDE w:val="0"/>
              <w:autoSpaceDN w:val="0"/>
              <w:adjustRightInd w:val="0"/>
              <w:jc w:val="center"/>
              <w:rPr>
                <w:rFonts w:cs="Arial"/>
                <w:lang w:val="el-GR"/>
              </w:rPr>
            </w:pPr>
          </w:p>
        </w:tc>
        <w:tc>
          <w:tcPr>
            <w:tcW w:w="3597" w:type="dxa"/>
            <w:gridSpan w:val="2"/>
            <w:tcBorders>
              <w:top w:val="single" w:sz="12" w:space="0" w:color="auto"/>
              <w:left w:val="single" w:sz="12" w:space="0" w:color="auto"/>
              <w:right w:val="single" w:sz="12" w:space="0" w:color="auto"/>
            </w:tcBorders>
            <w:vAlign w:val="center"/>
          </w:tcPr>
          <w:p w:rsidR="00B74244" w:rsidRDefault="00B74244" w:rsidP="006F163F">
            <w:pPr>
              <w:autoSpaceDE w:val="0"/>
              <w:autoSpaceDN w:val="0"/>
              <w:adjustRightInd w:val="0"/>
              <w:jc w:val="center"/>
              <w:rPr>
                <w:rFonts w:cs="Arial"/>
                <w:lang w:val="el-GR"/>
              </w:rPr>
            </w:pPr>
            <w:r>
              <w:rPr>
                <w:rFonts w:cs="Arial"/>
                <w:lang w:val="el-GR"/>
              </w:rPr>
              <w:t>Βάσει Μελέτης 2014</w:t>
            </w:r>
          </w:p>
        </w:tc>
        <w:tc>
          <w:tcPr>
            <w:tcW w:w="3598" w:type="dxa"/>
            <w:gridSpan w:val="2"/>
            <w:tcBorders>
              <w:top w:val="single" w:sz="12" w:space="0" w:color="auto"/>
              <w:left w:val="single" w:sz="12" w:space="0" w:color="auto"/>
              <w:right w:val="single" w:sz="12" w:space="0" w:color="auto"/>
            </w:tcBorders>
            <w:vAlign w:val="center"/>
          </w:tcPr>
          <w:p w:rsidR="00B74244" w:rsidRDefault="00B74244" w:rsidP="006F163F">
            <w:pPr>
              <w:autoSpaceDE w:val="0"/>
              <w:autoSpaceDN w:val="0"/>
              <w:adjustRightInd w:val="0"/>
              <w:jc w:val="center"/>
              <w:rPr>
                <w:rFonts w:cs="Arial"/>
                <w:lang w:val="el-GR"/>
              </w:rPr>
            </w:pPr>
            <w:r>
              <w:rPr>
                <w:rFonts w:cs="Arial"/>
                <w:lang w:val="el-GR"/>
              </w:rPr>
              <w:t>Βάσει Μελέτης 2019</w:t>
            </w:r>
          </w:p>
        </w:tc>
      </w:tr>
      <w:tr w:rsidR="00B74244" w:rsidRPr="00C942B1" w:rsidTr="006F163F">
        <w:tc>
          <w:tcPr>
            <w:tcW w:w="1801" w:type="dxa"/>
            <w:vMerge/>
            <w:tcBorders>
              <w:left w:val="single" w:sz="12" w:space="0" w:color="auto"/>
              <w:bottom w:val="single" w:sz="12" w:space="0" w:color="auto"/>
              <w:right w:val="single" w:sz="12" w:space="0" w:color="auto"/>
            </w:tcBorders>
            <w:vAlign w:val="center"/>
          </w:tcPr>
          <w:p w:rsidR="00B74244" w:rsidRPr="00C942B1" w:rsidRDefault="00B74244" w:rsidP="006F163F">
            <w:pPr>
              <w:autoSpaceDE w:val="0"/>
              <w:autoSpaceDN w:val="0"/>
              <w:adjustRightInd w:val="0"/>
              <w:jc w:val="center"/>
              <w:rPr>
                <w:rFonts w:cs="Arial"/>
                <w:sz w:val="20"/>
                <w:lang w:val="el-GR"/>
              </w:rPr>
            </w:pPr>
          </w:p>
        </w:tc>
        <w:tc>
          <w:tcPr>
            <w:tcW w:w="1797" w:type="dxa"/>
            <w:tcBorders>
              <w:left w:val="single" w:sz="12" w:space="0" w:color="auto"/>
              <w:bottom w:val="single" w:sz="12" w:space="0" w:color="auto"/>
            </w:tcBorders>
            <w:vAlign w:val="center"/>
          </w:tcPr>
          <w:p w:rsidR="00B74244" w:rsidRPr="00C942B1" w:rsidRDefault="00B74244" w:rsidP="006F163F">
            <w:pPr>
              <w:autoSpaceDE w:val="0"/>
              <w:autoSpaceDN w:val="0"/>
              <w:adjustRightInd w:val="0"/>
              <w:jc w:val="center"/>
              <w:rPr>
                <w:rFonts w:cs="Arial"/>
                <w:sz w:val="20"/>
                <w:lang w:val="el-GR"/>
              </w:rPr>
            </w:pPr>
            <w:r w:rsidRPr="00C942B1">
              <w:rPr>
                <w:rFonts w:cs="Arial"/>
                <w:sz w:val="20"/>
                <w:lang w:val="el-GR"/>
              </w:rPr>
              <w:t>Ανά τετραγωνικό</w:t>
            </w:r>
          </w:p>
        </w:tc>
        <w:tc>
          <w:tcPr>
            <w:tcW w:w="1800" w:type="dxa"/>
            <w:tcBorders>
              <w:bottom w:val="single" w:sz="12" w:space="0" w:color="auto"/>
              <w:right w:val="single" w:sz="12" w:space="0" w:color="auto"/>
            </w:tcBorders>
            <w:vAlign w:val="center"/>
          </w:tcPr>
          <w:p w:rsidR="00B74244" w:rsidRPr="00C942B1" w:rsidRDefault="00B74244" w:rsidP="006F163F">
            <w:pPr>
              <w:autoSpaceDE w:val="0"/>
              <w:autoSpaceDN w:val="0"/>
              <w:adjustRightInd w:val="0"/>
              <w:jc w:val="center"/>
              <w:rPr>
                <w:rFonts w:cs="Arial"/>
                <w:sz w:val="20"/>
                <w:lang w:val="el-GR"/>
              </w:rPr>
            </w:pPr>
            <w:r w:rsidRPr="00C942B1">
              <w:rPr>
                <w:rFonts w:cs="Arial"/>
                <w:sz w:val="20"/>
                <w:lang w:val="el-GR"/>
              </w:rPr>
              <w:t xml:space="preserve">Επίδομα για </w:t>
            </w:r>
            <w:proofErr w:type="spellStart"/>
            <w:r w:rsidRPr="00C942B1">
              <w:rPr>
                <w:rFonts w:cs="Arial"/>
                <w:sz w:val="20"/>
                <w:lang w:val="el-GR"/>
              </w:rPr>
              <w:t>διαμ</w:t>
            </w:r>
            <w:proofErr w:type="spellEnd"/>
            <w:r w:rsidRPr="00C942B1">
              <w:rPr>
                <w:rFonts w:cs="Arial"/>
                <w:sz w:val="20"/>
                <w:lang w:val="el-GR"/>
              </w:rPr>
              <w:t>. 2 υπνοδωματίων</w:t>
            </w:r>
          </w:p>
        </w:tc>
        <w:tc>
          <w:tcPr>
            <w:tcW w:w="1797" w:type="dxa"/>
            <w:tcBorders>
              <w:left w:val="single" w:sz="12" w:space="0" w:color="auto"/>
              <w:bottom w:val="single" w:sz="12" w:space="0" w:color="auto"/>
            </w:tcBorders>
            <w:vAlign w:val="center"/>
          </w:tcPr>
          <w:p w:rsidR="00B74244" w:rsidRPr="00C942B1" w:rsidRDefault="00B74244" w:rsidP="006F163F">
            <w:pPr>
              <w:autoSpaceDE w:val="0"/>
              <w:autoSpaceDN w:val="0"/>
              <w:adjustRightInd w:val="0"/>
              <w:jc w:val="center"/>
              <w:rPr>
                <w:rFonts w:cs="Arial"/>
                <w:sz w:val="20"/>
                <w:lang w:val="el-GR"/>
              </w:rPr>
            </w:pPr>
            <w:r w:rsidRPr="00C942B1">
              <w:rPr>
                <w:rFonts w:cs="Arial"/>
                <w:sz w:val="20"/>
                <w:lang w:val="el-GR"/>
              </w:rPr>
              <w:t>Ανά τετραγωνικό</w:t>
            </w:r>
          </w:p>
        </w:tc>
        <w:tc>
          <w:tcPr>
            <w:tcW w:w="1801" w:type="dxa"/>
            <w:tcBorders>
              <w:bottom w:val="single" w:sz="12" w:space="0" w:color="auto"/>
              <w:right w:val="single" w:sz="12" w:space="0" w:color="auto"/>
            </w:tcBorders>
            <w:vAlign w:val="center"/>
          </w:tcPr>
          <w:p w:rsidR="00B74244" w:rsidRPr="00C942B1" w:rsidRDefault="00B74244" w:rsidP="006F163F">
            <w:pPr>
              <w:autoSpaceDE w:val="0"/>
              <w:autoSpaceDN w:val="0"/>
              <w:adjustRightInd w:val="0"/>
              <w:jc w:val="center"/>
              <w:rPr>
                <w:rFonts w:cs="Arial"/>
                <w:sz w:val="20"/>
                <w:lang w:val="el-GR"/>
              </w:rPr>
            </w:pPr>
            <w:r w:rsidRPr="00C942B1">
              <w:rPr>
                <w:rFonts w:cs="Arial"/>
                <w:sz w:val="20"/>
                <w:lang w:val="el-GR"/>
              </w:rPr>
              <w:t xml:space="preserve">Επίδομα για </w:t>
            </w:r>
            <w:proofErr w:type="spellStart"/>
            <w:r w:rsidRPr="00C942B1">
              <w:rPr>
                <w:rFonts w:cs="Arial"/>
                <w:sz w:val="20"/>
                <w:lang w:val="el-GR"/>
              </w:rPr>
              <w:t>διαμ</w:t>
            </w:r>
            <w:proofErr w:type="spellEnd"/>
            <w:r w:rsidRPr="00C942B1">
              <w:rPr>
                <w:rFonts w:cs="Arial"/>
                <w:sz w:val="20"/>
                <w:lang w:val="el-GR"/>
              </w:rPr>
              <w:t>. 2 υπνοδωματίων</w:t>
            </w:r>
          </w:p>
        </w:tc>
      </w:tr>
      <w:tr w:rsidR="00B74244" w:rsidTr="006F163F">
        <w:tc>
          <w:tcPr>
            <w:tcW w:w="1801" w:type="dxa"/>
            <w:tcBorders>
              <w:top w:val="single" w:sz="12" w:space="0" w:color="auto"/>
              <w:left w:val="single" w:sz="12" w:space="0" w:color="auto"/>
              <w:righ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Λευκωσία</w:t>
            </w:r>
          </w:p>
        </w:tc>
        <w:tc>
          <w:tcPr>
            <w:tcW w:w="1797" w:type="dxa"/>
            <w:tcBorders>
              <w:top w:val="single" w:sz="12" w:space="0" w:color="auto"/>
              <w:lef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€2,80</w:t>
            </w:r>
          </w:p>
        </w:tc>
        <w:tc>
          <w:tcPr>
            <w:tcW w:w="1800" w:type="dxa"/>
            <w:tcBorders>
              <w:top w:val="single" w:sz="12" w:space="0" w:color="auto"/>
              <w:righ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€224</w:t>
            </w:r>
          </w:p>
        </w:tc>
        <w:tc>
          <w:tcPr>
            <w:tcW w:w="1797" w:type="dxa"/>
            <w:tcBorders>
              <w:top w:val="single" w:sz="12" w:space="0" w:color="auto"/>
              <w:lef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€4,06</w:t>
            </w:r>
          </w:p>
        </w:tc>
        <w:tc>
          <w:tcPr>
            <w:tcW w:w="1801" w:type="dxa"/>
            <w:tcBorders>
              <w:top w:val="single" w:sz="12" w:space="0" w:color="auto"/>
              <w:righ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€324,80</w:t>
            </w:r>
          </w:p>
        </w:tc>
      </w:tr>
      <w:tr w:rsidR="00B74244" w:rsidTr="006F163F">
        <w:tc>
          <w:tcPr>
            <w:tcW w:w="1801" w:type="dxa"/>
            <w:tcBorders>
              <w:left w:val="single" w:sz="12" w:space="0" w:color="auto"/>
              <w:righ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Λεμεσός</w:t>
            </w:r>
          </w:p>
        </w:tc>
        <w:tc>
          <w:tcPr>
            <w:tcW w:w="1797" w:type="dxa"/>
            <w:tcBorders>
              <w:lef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€2,80</w:t>
            </w:r>
          </w:p>
        </w:tc>
        <w:tc>
          <w:tcPr>
            <w:tcW w:w="1800" w:type="dxa"/>
            <w:tcBorders>
              <w:righ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€224</w:t>
            </w:r>
          </w:p>
        </w:tc>
        <w:tc>
          <w:tcPr>
            <w:tcW w:w="1797" w:type="dxa"/>
            <w:tcBorders>
              <w:lef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€4,41</w:t>
            </w:r>
          </w:p>
        </w:tc>
        <w:tc>
          <w:tcPr>
            <w:tcW w:w="1801" w:type="dxa"/>
            <w:tcBorders>
              <w:righ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€352,80</w:t>
            </w:r>
          </w:p>
        </w:tc>
      </w:tr>
      <w:tr w:rsidR="00B74244" w:rsidTr="006F163F">
        <w:tc>
          <w:tcPr>
            <w:tcW w:w="1801" w:type="dxa"/>
            <w:tcBorders>
              <w:left w:val="single" w:sz="12" w:space="0" w:color="auto"/>
              <w:righ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Λάρνακα</w:t>
            </w:r>
          </w:p>
        </w:tc>
        <w:tc>
          <w:tcPr>
            <w:tcW w:w="1797" w:type="dxa"/>
            <w:tcBorders>
              <w:lef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€2,45</w:t>
            </w:r>
          </w:p>
        </w:tc>
        <w:tc>
          <w:tcPr>
            <w:tcW w:w="1800" w:type="dxa"/>
            <w:tcBorders>
              <w:righ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€196</w:t>
            </w:r>
          </w:p>
        </w:tc>
        <w:tc>
          <w:tcPr>
            <w:tcW w:w="1797" w:type="dxa"/>
            <w:tcBorders>
              <w:lef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€3,50</w:t>
            </w:r>
          </w:p>
        </w:tc>
        <w:tc>
          <w:tcPr>
            <w:tcW w:w="1801" w:type="dxa"/>
            <w:tcBorders>
              <w:righ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€280</w:t>
            </w:r>
          </w:p>
        </w:tc>
      </w:tr>
      <w:tr w:rsidR="00B74244" w:rsidTr="006F163F">
        <w:tc>
          <w:tcPr>
            <w:tcW w:w="1801" w:type="dxa"/>
            <w:tcBorders>
              <w:left w:val="single" w:sz="12" w:space="0" w:color="auto"/>
              <w:righ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Πάφος</w:t>
            </w:r>
          </w:p>
        </w:tc>
        <w:tc>
          <w:tcPr>
            <w:tcW w:w="1797" w:type="dxa"/>
            <w:tcBorders>
              <w:lef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€1,75</w:t>
            </w:r>
          </w:p>
        </w:tc>
        <w:tc>
          <w:tcPr>
            <w:tcW w:w="1800" w:type="dxa"/>
            <w:tcBorders>
              <w:righ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€140</w:t>
            </w:r>
          </w:p>
        </w:tc>
        <w:tc>
          <w:tcPr>
            <w:tcW w:w="1797" w:type="dxa"/>
            <w:tcBorders>
              <w:lef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€2,94</w:t>
            </w:r>
          </w:p>
        </w:tc>
        <w:tc>
          <w:tcPr>
            <w:tcW w:w="1801" w:type="dxa"/>
            <w:tcBorders>
              <w:righ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€235,20</w:t>
            </w:r>
          </w:p>
        </w:tc>
      </w:tr>
      <w:tr w:rsidR="00B74244" w:rsidTr="006F163F">
        <w:tc>
          <w:tcPr>
            <w:tcW w:w="1801" w:type="dxa"/>
            <w:tcBorders>
              <w:left w:val="single" w:sz="12" w:space="0" w:color="auto"/>
              <w:bottom w:val="single" w:sz="12" w:space="0" w:color="auto"/>
              <w:righ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Αμμόχωστος</w:t>
            </w:r>
          </w:p>
        </w:tc>
        <w:tc>
          <w:tcPr>
            <w:tcW w:w="1797" w:type="dxa"/>
            <w:tcBorders>
              <w:left w:val="single" w:sz="12" w:space="0" w:color="auto"/>
              <w:bottom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€2,80</w:t>
            </w:r>
          </w:p>
        </w:tc>
        <w:tc>
          <w:tcPr>
            <w:tcW w:w="1800" w:type="dxa"/>
            <w:tcBorders>
              <w:bottom w:val="single" w:sz="12" w:space="0" w:color="auto"/>
              <w:righ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€224</w:t>
            </w:r>
          </w:p>
        </w:tc>
        <w:tc>
          <w:tcPr>
            <w:tcW w:w="1797" w:type="dxa"/>
            <w:tcBorders>
              <w:left w:val="single" w:sz="12" w:space="0" w:color="auto"/>
              <w:bottom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€2,94</w:t>
            </w:r>
          </w:p>
        </w:tc>
        <w:tc>
          <w:tcPr>
            <w:tcW w:w="1801" w:type="dxa"/>
            <w:tcBorders>
              <w:bottom w:val="single" w:sz="12" w:space="0" w:color="auto"/>
              <w:right w:val="single" w:sz="12" w:space="0" w:color="auto"/>
            </w:tcBorders>
          </w:tcPr>
          <w:p w:rsidR="00B74244" w:rsidRDefault="00B74244" w:rsidP="006F163F">
            <w:pPr>
              <w:autoSpaceDE w:val="0"/>
              <w:autoSpaceDN w:val="0"/>
              <w:adjustRightInd w:val="0"/>
              <w:jc w:val="both"/>
              <w:rPr>
                <w:rFonts w:cs="Arial"/>
                <w:lang w:val="el-GR"/>
              </w:rPr>
            </w:pPr>
            <w:r>
              <w:rPr>
                <w:rFonts w:cs="Arial"/>
                <w:lang w:val="el-GR"/>
              </w:rPr>
              <w:t>€235,20</w:t>
            </w:r>
          </w:p>
        </w:tc>
      </w:tr>
    </w:tbl>
    <w:p w:rsidR="00447E9E" w:rsidRDefault="00447E9E" w:rsidP="00B74244">
      <w:pPr>
        <w:spacing w:line="276" w:lineRule="auto"/>
        <w:jc w:val="both"/>
        <w:rPr>
          <w:rFonts w:cs="Arial"/>
          <w:sz w:val="22"/>
          <w:lang w:val="el-GR"/>
        </w:rPr>
      </w:pPr>
    </w:p>
    <w:p w:rsidR="00447E9E" w:rsidRDefault="00447E9E" w:rsidP="006D06E8">
      <w:pPr>
        <w:spacing w:after="240" w:line="276" w:lineRule="auto"/>
        <w:jc w:val="both"/>
        <w:rPr>
          <w:rFonts w:cs="Arial"/>
          <w:sz w:val="22"/>
          <w:lang w:val="el-GR"/>
        </w:rPr>
      </w:pPr>
      <w:r>
        <w:rPr>
          <w:rFonts w:cs="Arial"/>
          <w:sz w:val="22"/>
          <w:lang w:val="el-GR"/>
        </w:rPr>
        <w:t>Σημειώνεται ότι εξακολουθούν και ισχύουν όλες οι ειδικές διατάξεις της Νομοθεσίας</w:t>
      </w:r>
      <w:r w:rsidR="00B74244">
        <w:rPr>
          <w:rFonts w:cs="Arial"/>
          <w:sz w:val="22"/>
          <w:lang w:val="el-GR"/>
        </w:rPr>
        <w:t xml:space="preserve"> για την παροχή αυξημένου επιδόματος ενοικίου ή τόκων στεγαστικού δανείου σε άτομα με αναπηρία, δηλαδή την αύξηση του επιχορηγούμενου εμβαδού κατά 25 τετραγωνικά μέτρα για όλα τα άτομα με αναπηρία και την αύξηση του παρεχόμενου επιδόματος κατά επιπλέον 50% στα άτομα με αναπηρία που χρησιμοποιούν τροχοκάθισμα και κατά 20% στα άτομα με αναπηρία που δεν χρησιμοποιούν τροχοκάθισμα.</w:t>
      </w:r>
    </w:p>
    <w:p w:rsidR="00B74244" w:rsidRDefault="00B74244" w:rsidP="006D06E8">
      <w:pPr>
        <w:spacing w:after="240" w:line="276" w:lineRule="auto"/>
        <w:jc w:val="both"/>
        <w:rPr>
          <w:rFonts w:cs="Arial"/>
          <w:sz w:val="22"/>
          <w:lang w:val="el-GR"/>
        </w:rPr>
      </w:pPr>
      <w:r>
        <w:rPr>
          <w:rFonts w:cs="Arial"/>
          <w:sz w:val="22"/>
          <w:lang w:val="el-GR"/>
        </w:rPr>
        <w:t>Το Υπουργείο Εργασίας, Πρόνοιας και Κοινωνικών Ασφαλίσεων ενημερώνει όλους τους επηρεαζόμενους ότι οι πιο πάνω αυξήσεις θα τεθούν σε εφαρμογή από 1</w:t>
      </w:r>
      <w:r w:rsidRPr="00B74244">
        <w:rPr>
          <w:rFonts w:cs="Arial"/>
          <w:sz w:val="22"/>
          <w:vertAlign w:val="superscript"/>
          <w:lang w:val="el-GR"/>
        </w:rPr>
        <w:t>η</w:t>
      </w:r>
      <w:r>
        <w:rPr>
          <w:rFonts w:cs="Arial"/>
          <w:sz w:val="22"/>
          <w:lang w:val="el-GR"/>
        </w:rPr>
        <w:t xml:space="preserve"> Αυγούστου 2019.</w:t>
      </w:r>
    </w:p>
    <w:p w:rsidR="002C2CB6" w:rsidRDefault="002C2CB6" w:rsidP="006D06E8">
      <w:pPr>
        <w:spacing w:line="276" w:lineRule="auto"/>
        <w:jc w:val="both"/>
        <w:rPr>
          <w:rFonts w:cs="Arial"/>
          <w:b/>
          <w:lang w:val="el-GR"/>
        </w:rPr>
      </w:pPr>
    </w:p>
    <w:p w:rsidR="00B42023" w:rsidRPr="00B42023" w:rsidRDefault="00B74244" w:rsidP="006D06E8">
      <w:pPr>
        <w:spacing w:line="276" w:lineRule="auto"/>
        <w:jc w:val="both"/>
        <w:rPr>
          <w:b/>
          <w:lang w:val="el-GR"/>
        </w:rPr>
      </w:pPr>
      <w:r>
        <w:rPr>
          <w:rFonts w:cs="Arial"/>
          <w:b/>
          <w:lang w:val="el-GR"/>
        </w:rPr>
        <w:t>15 Ιουλίου</w:t>
      </w:r>
      <w:r w:rsidR="0066201C">
        <w:rPr>
          <w:rFonts w:cs="Arial"/>
          <w:b/>
          <w:lang w:val="el-GR"/>
        </w:rPr>
        <w:t xml:space="preserve"> 2019</w:t>
      </w:r>
    </w:p>
    <w:sectPr w:rsidR="00B42023" w:rsidRPr="00B42023" w:rsidSect="000B537D">
      <w:headerReference w:type="first" r:id="rId8"/>
      <w:pgSz w:w="11906" w:h="16838"/>
      <w:pgMar w:top="1276" w:right="141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10A" w:rsidRDefault="00AF510A" w:rsidP="00286439">
      <w:r>
        <w:separator/>
      </w:r>
    </w:p>
  </w:endnote>
  <w:endnote w:type="continuationSeparator" w:id="0">
    <w:p w:rsidR="00AF510A" w:rsidRDefault="00AF510A" w:rsidP="0028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10A" w:rsidRDefault="00AF510A" w:rsidP="00286439">
      <w:r>
        <w:separator/>
      </w:r>
    </w:p>
  </w:footnote>
  <w:footnote w:type="continuationSeparator" w:id="0">
    <w:p w:rsidR="00AF510A" w:rsidRDefault="00AF510A" w:rsidP="0028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01C" w:rsidRPr="00286439" w:rsidRDefault="0066201C" w:rsidP="0066201C">
    <w:pPr>
      <w:jc w:val="center"/>
      <w:rPr>
        <w:b/>
        <w:sz w:val="32"/>
        <w:u w:val="single"/>
        <w:lang w:val="el-GR"/>
      </w:rPr>
    </w:pPr>
    <w:r>
      <w:rPr>
        <w:b/>
        <w:sz w:val="32"/>
        <w:u w:val="single"/>
        <w:lang w:val="el-GR"/>
      </w:rPr>
      <w:t>ΑΝΑΚΟΙΝΩΣΗ</w:t>
    </w:r>
  </w:p>
  <w:p w:rsidR="0066201C" w:rsidRDefault="00662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7096"/>
    <w:multiLevelType w:val="hybridMultilevel"/>
    <w:tmpl w:val="E884B990"/>
    <w:lvl w:ilvl="0" w:tplc="046025F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F0851FD"/>
    <w:multiLevelType w:val="hybridMultilevel"/>
    <w:tmpl w:val="EACE7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A102B7"/>
    <w:multiLevelType w:val="hybridMultilevel"/>
    <w:tmpl w:val="CE0C573C"/>
    <w:lvl w:ilvl="0" w:tplc="046025F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9A53A5"/>
    <w:multiLevelType w:val="hybridMultilevel"/>
    <w:tmpl w:val="85C0919E"/>
    <w:lvl w:ilvl="0" w:tplc="2EFE3916">
      <w:start w:val="1"/>
      <mc:AlternateContent>
        <mc:Choice Requires="w14">
          <w:numFmt w:val="custom" w:format="α, β, γ, ..."/>
        </mc:Choice>
        <mc:Fallback>
          <w:numFmt w:val="decimal"/>
        </mc:Fallback>
      </mc:AlternateContent>
      <w:lvlText w:val="(%1)"/>
      <w:lvlJc w:val="left"/>
      <w:pPr>
        <w:ind w:left="720" w:hanging="360"/>
      </w:pPr>
      <w:rPr>
        <w:rFonts w:ascii="Arial" w:hAnsi="Arial" w:cs="Arial"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CDC03DB"/>
    <w:multiLevelType w:val="hybridMultilevel"/>
    <w:tmpl w:val="2522D5B8"/>
    <w:lvl w:ilvl="0" w:tplc="046025FA">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E2"/>
    <w:rsid w:val="00042C40"/>
    <w:rsid w:val="0007321A"/>
    <w:rsid w:val="000B537D"/>
    <w:rsid w:val="000C2145"/>
    <w:rsid w:val="000E2A60"/>
    <w:rsid w:val="000F0A51"/>
    <w:rsid w:val="00162F1D"/>
    <w:rsid w:val="0017341C"/>
    <w:rsid w:val="0018283D"/>
    <w:rsid w:val="001B0CD9"/>
    <w:rsid w:val="001B0E3B"/>
    <w:rsid w:val="00286439"/>
    <w:rsid w:val="002C2CB6"/>
    <w:rsid w:val="003520A4"/>
    <w:rsid w:val="00352825"/>
    <w:rsid w:val="003C1849"/>
    <w:rsid w:val="004209A5"/>
    <w:rsid w:val="00447E9E"/>
    <w:rsid w:val="00461291"/>
    <w:rsid w:val="004A2711"/>
    <w:rsid w:val="004E7B24"/>
    <w:rsid w:val="0055335F"/>
    <w:rsid w:val="005558ED"/>
    <w:rsid w:val="005D667A"/>
    <w:rsid w:val="005F70A5"/>
    <w:rsid w:val="006351D4"/>
    <w:rsid w:val="006379EF"/>
    <w:rsid w:val="00652494"/>
    <w:rsid w:val="0066201C"/>
    <w:rsid w:val="00672139"/>
    <w:rsid w:val="00676FFB"/>
    <w:rsid w:val="006A24CF"/>
    <w:rsid w:val="006A457E"/>
    <w:rsid w:val="006D06E8"/>
    <w:rsid w:val="00787605"/>
    <w:rsid w:val="007E27F6"/>
    <w:rsid w:val="007F7B3D"/>
    <w:rsid w:val="008A1B49"/>
    <w:rsid w:val="0091012B"/>
    <w:rsid w:val="00A4375A"/>
    <w:rsid w:val="00A817B7"/>
    <w:rsid w:val="00A8689F"/>
    <w:rsid w:val="00AE1CF5"/>
    <w:rsid w:val="00AF510A"/>
    <w:rsid w:val="00B03829"/>
    <w:rsid w:val="00B35B06"/>
    <w:rsid w:val="00B3638F"/>
    <w:rsid w:val="00B42023"/>
    <w:rsid w:val="00B74244"/>
    <w:rsid w:val="00C20CFF"/>
    <w:rsid w:val="00C3459C"/>
    <w:rsid w:val="00C373F1"/>
    <w:rsid w:val="00C414A8"/>
    <w:rsid w:val="00CA4167"/>
    <w:rsid w:val="00D26B01"/>
    <w:rsid w:val="00D836FE"/>
    <w:rsid w:val="00D92066"/>
    <w:rsid w:val="00DA23A4"/>
    <w:rsid w:val="00DA249A"/>
    <w:rsid w:val="00DC3F06"/>
    <w:rsid w:val="00DF5F98"/>
    <w:rsid w:val="00E54E72"/>
    <w:rsid w:val="00E66A31"/>
    <w:rsid w:val="00EB704B"/>
    <w:rsid w:val="00F23E45"/>
    <w:rsid w:val="00F87C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D9EDB-CC85-4B2C-8C24-AFEF4C9D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E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87CE2"/>
    <w:pPr>
      <w:jc w:val="both"/>
    </w:pPr>
    <w:rPr>
      <w:szCs w:val="20"/>
      <w:lang w:eastAsia="zh-CN"/>
    </w:rPr>
  </w:style>
  <w:style w:type="character" w:customStyle="1" w:styleId="BodyTextChar">
    <w:name w:val="Body Text Char"/>
    <w:basedOn w:val="DefaultParagraphFont"/>
    <w:link w:val="BodyText"/>
    <w:semiHidden/>
    <w:rsid w:val="00F87CE2"/>
    <w:rPr>
      <w:rFonts w:ascii="Arial" w:eastAsia="Times New Roman" w:hAnsi="Arial" w:cs="Times New Roman"/>
      <w:sz w:val="24"/>
      <w:szCs w:val="20"/>
      <w:lang w:eastAsia="zh-CN"/>
    </w:rPr>
  </w:style>
  <w:style w:type="paragraph" w:styleId="Header">
    <w:name w:val="header"/>
    <w:basedOn w:val="Normal"/>
    <w:link w:val="HeaderChar"/>
    <w:uiPriority w:val="99"/>
    <w:unhideWhenUsed/>
    <w:rsid w:val="00286439"/>
    <w:pPr>
      <w:tabs>
        <w:tab w:val="center" w:pos="4153"/>
        <w:tab w:val="right" w:pos="8306"/>
      </w:tabs>
    </w:pPr>
  </w:style>
  <w:style w:type="character" w:customStyle="1" w:styleId="HeaderChar">
    <w:name w:val="Header Char"/>
    <w:basedOn w:val="DefaultParagraphFont"/>
    <w:link w:val="Header"/>
    <w:uiPriority w:val="99"/>
    <w:rsid w:val="00286439"/>
    <w:rPr>
      <w:rFonts w:ascii="Arial" w:eastAsia="Times New Roman" w:hAnsi="Arial" w:cs="Times New Roman"/>
      <w:sz w:val="24"/>
      <w:szCs w:val="24"/>
      <w:lang w:val="en-US"/>
    </w:rPr>
  </w:style>
  <w:style w:type="paragraph" w:styleId="Footer">
    <w:name w:val="footer"/>
    <w:basedOn w:val="Normal"/>
    <w:link w:val="FooterChar"/>
    <w:uiPriority w:val="99"/>
    <w:unhideWhenUsed/>
    <w:rsid w:val="00286439"/>
    <w:pPr>
      <w:tabs>
        <w:tab w:val="center" w:pos="4153"/>
        <w:tab w:val="right" w:pos="8306"/>
      </w:tabs>
    </w:pPr>
  </w:style>
  <w:style w:type="character" w:customStyle="1" w:styleId="FooterChar">
    <w:name w:val="Footer Char"/>
    <w:basedOn w:val="DefaultParagraphFont"/>
    <w:link w:val="Footer"/>
    <w:uiPriority w:val="99"/>
    <w:rsid w:val="00286439"/>
    <w:rPr>
      <w:rFonts w:ascii="Arial" w:eastAsia="Times New Roman" w:hAnsi="Arial" w:cs="Times New Roman"/>
      <w:sz w:val="24"/>
      <w:szCs w:val="24"/>
      <w:lang w:val="en-US"/>
    </w:rPr>
  </w:style>
  <w:style w:type="paragraph" w:styleId="ListParagraph">
    <w:name w:val="List Paragraph"/>
    <w:basedOn w:val="Normal"/>
    <w:uiPriority w:val="34"/>
    <w:qFormat/>
    <w:rsid w:val="00787605"/>
    <w:pPr>
      <w:ind w:left="720"/>
      <w:contextualSpacing/>
    </w:pPr>
  </w:style>
  <w:style w:type="table" w:styleId="TableGrid">
    <w:name w:val="Table Grid"/>
    <w:basedOn w:val="TableNormal"/>
    <w:uiPriority w:val="59"/>
    <w:rsid w:val="00B35B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667A"/>
    <w:rPr>
      <w:sz w:val="20"/>
      <w:szCs w:val="20"/>
    </w:rPr>
  </w:style>
  <w:style w:type="character" w:customStyle="1" w:styleId="FootnoteTextChar">
    <w:name w:val="Footnote Text Char"/>
    <w:basedOn w:val="DefaultParagraphFont"/>
    <w:link w:val="FootnoteText"/>
    <w:uiPriority w:val="99"/>
    <w:semiHidden/>
    <w:rsid w:val="005D667A"/>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5D667A"/>
    <w:rPr>
      <w:vertAlign w:val="superscript"/>
    </w:rPr>
  </w:style>
  <w:style w:type="character" w:styleId="PlaceholderText">
    <w:name w:val="Placeholder Text"/>
    <w:basedOn w:val="DefaultParagraphFont"/>
    <w:uiPriority w:val="99"/>
    <w:semiHidden/>
    <w:rsid w:val="0017341C"/>
    <w:rPr>
      <w:color w:val="808080"/>
    </w:rPr>
  </w:style>
  <w:style w:type="paragraph" w:styleId="BalloonText">
    <w:name w:val="Balloon Text"/>
    <w:basedOn w:val="Normal"/>
    <w:link w:val="BalloonTextChar"/>
    <w:uiPriority w:val="99"/>
    <w:semiHidden/>
    <w:unhideWhenUsed/>
    <w:rsid w:val="0017341C"/>
    <w:rPr>
      <w:rFonts w:ascii="Tahoma" w:hAnsi="Tahoma" w:cs="Tahoma"/>
      <w:sz w:val="16"/>
      <w:szCs w:val="16"/>
    </w:rPr>
  </w:style>
  <w:style w:type="character" w:customStyle="1" w:styleId="BalloonTextChar">
    <w:name w:val="Balloon Text Char"/>
    <w:basedOn w:val="DefaultParagraphFont"/>
    <w:link w:val="BalloonText"/>
    <w:uiPriority w:val="99"/>
    <w:semiHidden/>
    <w:rsid w:val="0017341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9A6D-806E-40BE-8AE8-40059F22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Φάνος Κουρουφέξης</dc:creator>
  <cp:lastModifiedBy>Phanos Kouroufexis</cp:lastModifiedBy>
  <cp:revision>5</cp:revision>
  <cp:lastPrinted>2019-07-15T07:15:00Z</cp:lastPrinted>
  <dcterms:created xsi:type="dcterms:W3CDTF">2019-07-15T06:58:00Z</dcterms:created>
  <dcterms:modified xsi:type="dcterms:W3CDTF">2019-07-15T11:11:00Z</dcterms:modified>
</cp:coreProperties>
</file>